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C734A4">
      <w:pPr>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776088">
        <w:rPr>
          <w:b/>
          <w:noProof/>
          <w:sz w:val="24"/>
          <w:szCs w:val="24"/>
        </w:rPr>
        <w:t>001</w:t>
      </w:r>
      <w:r w:rsidRPr="00E90FE3">
        <w:rPr>
          <w:b/>
          <w:noProof/>
          <w:sz w:val="24"/>
          <w:szCs w:val="24"/>
        </w:rPr>
        <w:t>-</w:t>
      </w:r>
      <w:r w:rsidR="00776088">
        <w:rPr>
          <w:b/>
          <w:noProof/>
          <w:sz w:val="24"/>
          <w:szCs w:val="24"/>
        </w:rPr>
        <w:t>2021</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776088" w:rsidRPr="00776088" w:rsidRDefault="00776088" w:rsidP="00776088">
      <w:pPr>
        <w:jc w:val="center"/>
        <w:rPr>
          <w:rFonts w:eastAsia="Times New Roman"/>
          <w:b/>
          <w:noProof/>
          <w:sz w:val="24"/>
          <w:szCs w:val="24"/>
          <w:lang w:eastAsia="es-MX"/>
        </w:rPr>
      </w:pPr>
      <w:r w:rsidRPr="00776088">
        <w:rPr>
          <w:rFonts w:eastAsia="Times New Roman"/>
          <w:b/>
          <w:noProof/>
          <w:sz w:val="24"/>
          <w:szCs w:val="24"/>
          <w:lang w:eastAsia="es-MX"/>
        </w:rPr>
        <w:t>CONSTRUCCION DE 20(VEINTE) RECAMARAS ADICIONALES  DE 16.65 M2 EN AREA URBANA  A BASE DE LOSA DE CIMENTACIÓN, MUROS DE BLOCK, TECHO DE VIGUETA E INSTALACIONES ELÉCTRICAS, EN  VARIAS LOCALIDADES DEL MUNICIPIO DE SAN IGNACIO RIO MUERTO,SONORA.</w:t>
      </w:r>
    </w:p>
    <w:p w:rsidR="00D07D21" w:rsidRDefault="00776088" w:rsidP="00776088">
      <w:pPr>
        <w:rPr>
          <w:rFonts w:ascii="Arial" w:eastAsia="Times New Roman" w:hAnsi="Arial" w:cs="Arial"/>
          <w:sz w:val="18"/>
          <w:szCs w:val="18"/>
          <w:lang w:eastAsia="es-MX"/>
        </w:rPr>
      </w:pPr>
      <w:r w:rsidRPr="00776088">
        <w:rPr>
          <w:rFonts w:eastAsia="Times New Roman"/>
          <w:b/>
          <w:noProof/>
          <w:sz w:val="24"/>
          <w:szCs w:val="24"/>
          <w:lang w:eastAsia="es-MX"/>
        </w:rPr>
        <w:tab/>
      </w:r>
      <w:r w:rsidR="00E31144"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12073C">
        <w:rPr>
          <w:i/>
          <w:noProof/>
          <w:sz w:val="24"/>
          <w:szCs w:val="24"/>
        </w:rPr>
        <w:t>09 de Marzo</w:t>
      </w:r>
      <w:r>
        <w:rPr>
          <w:i/>
          <w:noProof/>
          <w:sz w:val="24"/>
          <w:szCs w:val="24"/>
        </w:rPr>
        <w:t xml:space="preserve"> </w:t>
      </w:r>
      <w:r w:rsidRPr="00F96F21">
        <w:rPr>
          <w:i/>
          <w:noProof/>
          <w:sz w:val="24"/>
          <w:szCs w:val="24"/>
        </w:rPr>
        <w:t xml:space="preserve">de </w:t>
      </w:r>
      <w:r w:rsidR="00FC4670">
        <w:rPr>
          <w:i/>
          <w:noProof/>
          <w:sz w:val="24"/>
          <w:szCs w:val="24"/>
        </w:rPr>
        <w:t>202</w:t>
      </w:r>
      <w:r w:rsidR="00776088">
        <w:rPr>
          <w:i/>
          <w:noProof/>
          <w:sz w:val="24"/>
          <w:szCs w:val="24"/>
        </w:rPr>
        <w:t>1</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t xml:space="preserve"> W.3) LAS AUTORIDADES E INVITADOS</w:t>
            </w:r>
          </w:p>
          <w:p w:rsidR="00D07D21" w:rsidRPr="008E51C0" w:rsidRDefault="00D07D21" w:rsidP="0083084C">
            <w:pPr>
              <w:rPr>
                <w:b/>
                <w:szCs w:val="24"/>
              </w:rPr>
            </w:pPr>
            <w:r w:rsidRPr="008E51C0">
              <w:rPr>
                <w:b/>
                <w:szCs w:val="24"/>
              </w:rPr>
              <w:lastRenderedPageBreak/>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E31144" w:rsidRPr="00E31144" w:rsidRDefault="00D07D21" w:rsidP="00E31144">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776088">
        <w:rPr>
          <w:b/>
          <w:noProof/>
          <w:sz w:val="24"/>
          <w:szCs w:val="24"/>
        </w:rPr>
        <w:t>001</w:t>
      </w:r>
      <w:r w:rsidRPr="00E90FE3">
        <w:rPr>
          <w:b/>
          <w:noProof/>
          <w:sz w:val="24"/>
          <w:szCs w:val="24"/>
        </w:rPr>
        <w:t>-</w:t>
      </w:r>
      <w:r w:rsidR="00776088">
        <w:rPr>
          <w:b/>
          <w:noProof/>
          <w:sz w:val="24"/>
          <w:szCs w:val="24"/>
        </w:rPr>
        <w:t>2021</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776088" w:rsidRPr="00776088">
        <w:rPr>
          <w:b/>
          <w:noProof/>
          <w:sz w:val="24"/>
          <w:szCs w:val="24"/>
        </w:rPr>
        <w:t>CONSTRUCCION DE 20(VEINTE) RECAMARAS ADICIONALES  DE 16.65 M2 EN AREA URBANA  A BASE DE LOSA DE CIMENTACIÓN, MUROS DE BLOCK, TECHO DE VIGUETA E INSTALACIONES ELÉCTRICAS, EN  VARIAS LOCALIDADES DEL MUNICIPIO DE SAN IGNACIO RIO MUERTO,</w:t>
      </w:r>
      <w:r w:rsidR="00776088">
        <w:rPr>
          <w:b/>
          <w:noProof/>
          <w:sz w:val="24"/>
          <w:szCs w:val="24"/>
        </w:rPr>
        <w:t xml:space="preserve"> </w:t>
      </w:r>
      <w:r w:rsidR="00776088" w:rsidRPr="00776088">
        <w:rPr>
          <w:b/>
          <w:noProof/>
          <w:sz w:val="24"/>
          <w:szCs w:val="24"/>
        </w:rPr>
        <w:t>SONORA.</w:t>
      </w:r>
    </w:p>
    <w:p w:rsidR="00D07D21" w:rsidRPr="00F96F21" w:rsidRDefault="00E31144" w:rsidP="00E31144">
      <w:pPr>
        <w:jc w:val="both"/>
        <w:rPr>
          <w:b/>
          <w:bCs/>
          <w:sz w:val="24"/>
          <w:szCs w:val="24"/>
        </w:rPr>
      </w:pPr>
      <w:r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12073C">
        <w:rPr>
          <w:b/>
          <w:bCs/>
          <w:noProof/>
          <w:sz w:val="24"/>
          <w:szCs w:val="24"/>
        </w:rPr>
        <w:t>21</w:t>
      </w:r>
      <w:r w:rsidR="00FA457C">
        <w:rPr>
          <w:b/>
          <w:bCs/>
          <w:noProof/>
          <w:sz w:val="24"/>
          <w:szCs w:val="24"/>
        </w:rPr>
        <w:t xml:space="preserve"> de Marzo </w:t>
      </w:r>
      <w:r w:rsidRPr="00B54CC9">
        <w:rPr>
          <w:b/>
          <w:bCs/>
          <w:noProof/>
          <w:sz w:val="24"/>
          <w:szCs w:val="24"/>
        </w:rPr>
        <w:t xml:space="preserve">del </w:t>
      </w:r>
      <w:r w:rsidR="00FA457C">
        <w:rPr>
          <w:b/>
          <w:bCs/>
          <w:noProof/>
          <w:sz w:val="24"/>
          <w:szCs w:val="24"/>
        </w:rPr>
        <w:t>2021</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t xml:space="preserve">Aún en los casos en que se hayan efectuado revisiones preliminares de los documentos que se indican en la invitación, los interesados deberán acompañar, a elección del </w:t>
      </w:r>
      <w:r w:rsidRPr="00F96F21">
        <w:rPr>
          <w:sz w:val="24"/>
          <w:szCs w:val="24"/>
        </w:rPr>
        <w:lastRenderedPageBreak/>
        <w:t xml:space="preserve">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t xml:space="preserve"> B.1) DESCRIPCION DE LA OBRA A REALIZAR.</w:t>
      </w:r>
    </w:p>
    <w:p w:rsidR="00FA457C" w:rsidRPr="00776088" w:rsidRDefault="00FA457C" w:rsidP="00FA457C">
      <w:pPr>
        <w:jc w:val="center"/>
        <w:rPr>
          <w:rFonts w:eastAsia="Times New Roman"/>
          <w:b/>
          <w:noProof/>
          <w:sz w:val="24"/>
          <w:szCs w:val="24"/>
          <w:lang w:eastAsia="es-MX"/>
        </w:rPr>
      </w:pPr>
      <w:r w:rsidRPr="00776088">
        <w:rPr>
          <w:rFonts w:eastAsia="Times New Roman"/>
          <w:b/>
          <w:noProof/>
          <w:sz w:val="24"/>
          <w:szCs w:val="24"/>
          <w:lang w:eastAsia="es-MX"/>
        </w:rPr>
        <w:lastRenderedPageBreak/>
        <w:t>CONSTRUCCION DE 20(VEINTE) RECAMARAS ADICIONALES  DE 16.65 M2 EN AREA URBANA  A BASE DE LOSA DE CIMENTACIÓN, MUROS DE BLOCK, TECHO DE VIGUETA E INSTALACIONES ELÉCTRICAS, EN  VARIAS LOCALIDADES DEL MUNICIPIO DE SAN IGNACIO RIO MUERTO,SONORA.</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w:t>
      </w:r>
      <w:r w:rsidR="00FA457C">
        <w:rPr>
          <w:sz w:val="24"/>
          <w:szCs w:val="24"/>
        </w:rPr>
        <w:t>-ED-021-034</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FA457C">
        <w:rPr>
          <w:b/>
          <w:sz w:val="24"/>
          <w:szCs w:val="24"/>
        </w:rPr>
        <w:t xml:space="preserve">18 de </w:t>
      </w:r>
      <w:proofErr w:type="gramStart"/>
      <w:r w:rsidR="00FA457C">
        <w:rPr>
          <w:b/>
          <w:sz w:val="24"/>
          <w:szCs w:val="24"/>
        </w:rPr>
        <w:t>Febrero</w:t>
      </w:r>
      <w:proofErr w:type="gramEnd"/>
      <w:r w:rsidR="00AF0B20">
        <w:rPr>
          <w:b/>
          <w:sz w:val="24"/>
          <w:szCs w:val="24"/>
        </w:rPr>
        <w:t xml:space="preserve"> </w:t>
      </w:r>
      <w:r w:rsidRPr="00F96F21">
        <w:rPr>
          <w:b/>
          <w:noProof/>
          <w:sz w:val="24"/>
          <w:szCs w:val="24"/>
        </w:rPr>
        <w:t xml:space="preserve">de </w:t>
      </w:r>
      <w:r w:rsidR="00FA457C">
        <w:rPr>
          <w:b/>
          <w:noProof/>
          <w:sz w:val="24"/>
          <w:szCs w:val="24"/>
        </w:rPr>
        <w:t>2021</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12073C"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12</w:t>
            </w:r>
            <w:r w:rsidR="00D07D21" w:rsidRPr="00B54CC9">
              <w:rPr>
                <w:b/>
                <w:noProof/>
                <w:sz w:val="24"/>
                <w:szCs w:val="24"/>
              </w:rPr>
              <w:t xml:space="preserve">0 </w:t>
            </w:r>
            <w:r w:rsidR="00D07D21" w:rsidRPr="00F96F21">
              <w:rPr>
                <w:b/>
                <w:sz w:val="24"/>
                <w:szCs w:val="24"/>
              </w:rPr>
              <w:t>DÍAS NATURALES</w:t>
            </w:r>
          </w:p>
        </w:tc>
        <w:tc>
          <w:tcPr>
            <w:tcW w:w="2976" w:type="dxa"/>
            <w:shd w:val="clear" w:color="auto" w:fill="auto"/>
          </w:tcPr>
          <w:p w:rsidR="00D07D21" w:rsidRPr="00F96F21" w:rsidRDefault="0012073C" w:rsidP="00482350">
            <w:pPr>
              <w:pStyle w:val="Textoindependiente"/>
              <w:jc w:val="center"/>
              <w:rPr>
                <w:b/>
                <w:sz w:val="24"/>
                <w:szCs w:val="24"/>
              </w:rPr>
            </w:pPr>
            <w:r>
              <w:rPr>
                <w:b/>
                <w:noProof/>
                <w:sz w:val="24"/>
                <w:szCs w:val="24"/>
              </w:rPr>
              <w:t>24</w:t>
            </w:r>
            <w:r w:rsidR="008E51C0">
              <w:rPr>
                <w:b/>
                <w:noProof/>
                <w:sz w:val="24"/>
                <w:szCs w:val="24"/>
              </w:rPr>
              <w:t xml:space="preserve"> de </w:t>
            </w:r>
            <w:r w:rsidR="00FA457C">
              <w:rPr>
                <w:b/>
                <w:noProof/>
                <w:sz w:val="24"/>
                <w:szCs w:val="24"/>
              </w:rPr>
              <w:t>Marzo</w:t>
            </w:r>
            <w:r w:rsidR="00482350">
              <w:rPr>
                <w:b/>
                <w:noProof/>
                <w:sz w:val="24"/>
                <w:szCs w:val="24"/>
              </w:rPr>
              <w:t xml:space="preserve"> </w:t>
            </w:r>
            <w:r w:rsidR="00D07D21" w:rsidRPr="00F96F21">
              <w:rPr>
                <w:b/>
                <w:noProof/>
                <w:sz w:val="24"/>
                <w:szCs w:val="24"/>
              </w:rPr>
              <w:t xml:space="preserve">de </w:t>
            </w:r>
            <w:r w:rsidR="00FA457C">
              <w:rPr>
                <w:b/>
                <w:noProof/>
                <w:sz w:val="24"/>
                <w:szCs w:val="24"/>
              </w:rPr>
              <w:t>2021</w:t>
            </w:r>
          </w:p>
        </w:tc>
        <w:tc>
          <w:tcPr>
            <w:tcW w:w="2672" w:type="dxa"/>
            <w:shd w:val="clear" w:color="auto" w:fill="auto"/>
          </w:tcPr>
          <w:p w:rsidR="00D07D21" w:rsidRPr="00F96F21" w:rsidRDefault="0012073C"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w:t>
            </w:r>
            <w:r w:rsidR="00FA457C">
              <w:rPr>
                <w:b/>
                <w:noProof/>
                <w:sz w:val="24"/>
                <w:szCs w:val="24"/>
              </w:rPr>
              <w:t xml:space="preserve">4 de </w:t>
            </w:r>
            <w:r>
              <w:rPr>
                <w:b/>
                <w:noProof/>
                <w:sz w:val="24"/>
                <w:szCs w:val="24"/>
              </w:rPr>
              <w:t>Julio</w:t>
            </w:r>
            <w:r w:rsidR="00FA457C">
              <w:rPr>
                <w:b/>
                <w:noProof/>
                <w:sz w:val="24"/>
                <w:szCs w:val="24"/>
              </w:rPr>
              <w:t xml:space="preserve"> de 2021</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Dichos programas podrán ser presentados en los formatos que para tal efecto proporciona la Comisión de Vivienda del Estado de Sonora, en adelante denominada “LA COVES”, o podrán ser presentados en forma computarizada, respetando invariablemente los datos solicitados en ellos.</w:t>
      </w:r>
    </w:p>
    <w:p w:rsidR="00D07D21" w:rsidRDefault="00D07D21" w:rsidP="0083084C">
      <w:pPr>
        <w:ind w:left="1551"/>
        <w:jc w:val="both"/>
        <w:rPr>
          <w:sz w:val="24"/>
          <w:szCs w:val="24"/>
        </w:rPr>
      </w:pPr>
    </w:p>
    <w:p w:rsidR="00FA457C" w:rsidRPr="00F96F21" w:rsidRDefault="00FA457C"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lastRenderedPageBreak/>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Al sitio de realización de los trabajos, podrán asistir los interesados y sus auxiliares que hayan adquirido las bases de licitación, así como aquéllos que autorice el “LA COVES”. A quienes adquieran las bases con posterioridad a la realización de la visita, podrá 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12073C"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15</w:t>
            </w:r>
            <w:r w:rsidR="00FA457C">
              <w:rPr>
                <w:b/>
                <w:noProof/>
                <w:sz w:val="24"/>
                <w:szCs w:val="24"/>
              </w:rPr>
              <w:t xml:space="preserve"> de Marzo </w:t>
            </w:r>
            <w:r w:rsidR="00D07D21" w:rsidRPr="00E90FE3">
              <w:rPr>
                <w:b/>
                <w:noProof/>
                <w:sz w:val="24"/>
                <w:szCs w:val="24"/>
              </w:rPr>
              <w:t xml:space="preserve">de </w:t>
            </w:r>
            <w:r w:rsidR="00FA457C">
              <w:rPr>
                <w:b/>
                <w:noProof/>
                <w:sz w:val="24"/>
                <w:szCs w:val="24"/>
              </w:rPr>
              <w:t>2021</w:t>
            </w:r>
          </w:p>
        </w:tc>
        <w:tc>
          <w:tcPr>
            <w:tcW w:w="1985" w:type="dxa"/>
            <w:shd w:val="clear" w:color="auto" w:fill="auto"/>
          </w:tcPr>
          <w:p w:rsidR="00D07D21" w:rsidRPr="00F96F21" w:rsidRDefault="0012073C"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10</w:t>
            </w:r>
            <w:r w:rsidR="00D07D21" w:rsidRPr="00E90FE3">
              <w:rPr>
                <w:b/>
                <w:noProof/>
                <w:sz w:val="24"/>
                <w:szCs w:val="24"/>
              </w:rPr>
              <w:t>:00:00 AM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12073C"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 xml:space="preserve">16 </w:t>
            </w:r>
            <w:r w:rsidR="00FA457C">
              <w:rPr>
                <w:b/>
                <w:noProof/>
                <w:sz w:val="24"/>
                <w:szCs w:val="24"/>
              </w:rPr>
              <w:t>de Marzo de 2021</w:t>
            </w:r>
          </w:p>
        </w:tc>
        <w:tc>
          <w:tcPr>
            <w:tcW w:w="1134" w:type="dxa"/>
            <w:shd w:val="clear" w:color="auto" w:fill="auto"/>
          </w:tcPr>
          <w:p w:rsidR="00D07D21" w:rsidRPr="00F96F21" w:rsidRDefault="005E2C2D"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w:t>
            </w:r>
            <w:r w:rsidR="0012073C">
              <w:rPr>
                <w:b/>
                <w:noProof/>
                <w:sz w:val="24"/>
                <w:szCs w:val="24"/>
              </w:rPr>
              <w:t>0</w:t>
            </w:r>
            <w:r w:rsidR="00D07D21" w:rsidRPr="00E90FE3">
              <w:rPr>
                <w:b/>
                <w:noProof/>
                <w:sz w:val="24"/>
                <w:szCs w:val="24"/>
              </w:rPr>
              <w:t>:00</w:t>
            </w:r>
            <w:r>
              <w:rPr>
                <w:b/>
                <w:noProof/>
                <w:sz w:val="24"/>
                <w:szCs w:val="24"/>
              </w:rPr>
              <w:t xml:space="preserve"> Hrs</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lastRenderedPageBreak/>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00FA457C" w:rsidRPr="00CE6002">
          <w:rPr>
            <w:rStyle w:val="Hipervnculo"/>
            <w:sz w:val="24"/>
            <w:szCs w:val="24"/>
          </w:rPr>
          <w:t>Gilberto.penunuri@sonora.gob.mx</w:t>
        </w:r>
      </w:hyperlink>
      <w:r w:rsidR="00FA457C">
        <w:rPr>
          <w:sz w:val="24"/>
          <w:szCs w:val="24"/>
          <w:u w:val="single"/>
        </w:rPr>
        <w:t xml:space="preserve"> </w:t>
      </w:r>
      <w:r w:rsidRPr="00F96F21">
        <w:rPr>
          <w:sz w:val="24"/>
          <w:szCs w:val="24"/>
          <w:u w:val="single"/>
        </w:rPr>
        <w:t xml:space="preserve">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Los participantes pueden solicitar sus aclaraciones y dudas hasta inclusive el sexto día previo al acto de apertura de proposiciones, en apego a lo señalado por los artículos 44 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FA457C" w:rsidRDefault="00FA457C"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lastRenderedPageBreak/>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t xml:space="preserve">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w:t>
      </w:r>
      <w:r w:rsidRPr="00F96F21">
        <w:rPr>
          <w:bCs/>
          <w:sz w:val="24"/>
          <w:szCs w:val="24"/>
        </w:rPr>
        <w:lastRenderedPageBreak/>
        <w:t>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w:t>
      </w:r>
      <w:r w:rsidRPr="00F96F21">
        <w:rPr>
          <w:sz w:val="24"/>
          <w:szCs w:val="24"/>
        </w:rPr>
        <w:lastRenderedPageBreak/>
        <w:t xml:space="preserve">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Para los efectos de la fracción VI del artículo 63 de la Ley, las personas que previamente hayan realizado un proyecto y pretendan participar en el procedimiento de </w:t>
      </w:r>
      <w:r w:rsidRPr="00F96F21">
        <w:rPr>
          <w:sz w:val="24"/>
          <w:szCs w:val="24"/>
        </w:rPr>
        <w:lastRenderedPageBreak/>
        <w:t>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 xml:space="preserve">deberá presentar “constancia de no adeudo de contribuciones estatales y federales coordinadas”, mismo que es tramitado y </w:t>
      </w:r>
      <w:r w:rsidR="007E5A41">
        <w:rPr>
          <w:sz w:val="24"/>
          <w:szCs w:val="24"/>
        </w:rPr>
        <w:lastRenderedPageBreak/>
        <w:t>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lastRenderedPageBreak/>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lastRenderedPageBreak/>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lastRenderedPageBreak/>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 xml:space="preserve">Listado de insumos que intervienen en la integración de la propuesta, agrupado por materiales más significativos y equipos de instalación permanente, mano de obra, maquinaria y equipo de construcción, con la descripción de cada uno de </w:t>
      </w:r>
      <w:r w:rsidRPr="00F96F21">
        <w:rPr>
          <w:sz w:val="24"/>
          <w:szCs w:val="24"/>
        </w:rPr>
        <w:lastRenderedPageBreak/>
        <w:t>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lastRenderedPageBreak/>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xml:space="preserve">: EL LICITANTE DEBERA FORMULAR LOS DOCUMENTOS QUE INTEGRAN LA PROPUESTA ECONOMICA, DE ACUERDO CON LOS FORMATOS E INSTRUCCIONES DE LLENADO QUE SE DETALLAN EN EL “ANEXO </w:t>
      </w:r>
      <w:r w:rsidRPr="00F96F21">
        <w:rPr>
          <w:b/>
          <w:color w:val="E36C0A"/>
          <w:sz w:val="24"/>
          <w:szCs w:val="24"/>
        </w:rPr>
        <w:lastRenderedPageBreak/>
        <w:t>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lastRenderedPageBreak/>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 xml:space="preserve">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w:t>
      </w:r>
      <w:r w:rsidRPr="00F96F21">
        <w:rPr>
          <w:sz w:val="24"/>
          <w:szCs w:val="24"/>
        </w:rPr>
        <w:lastRenderedPageBreak/>
        <w:t>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 xml:space="preserve">“LA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w:t>
      </w:r>
      <w:r w:rsidRPr="00F96F21">
        <w:rPr>
          <w:sz w:val="24"/>
          <w:szCs w:val="24"/>
        </w:rPr>
        <w:lastRenderedPageBreak/>
        <w:t>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lastRenderedPageBreak/>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8A74B2">
        <w:rPr>
          <w:b/>
          <w:sz w:val="24"/>
          <w:szCs w:val="24"/>
        </w:rPr>
        <w:t>LSO-926060991-001</w:t>
      </w:r>
      <w:r w:rsidR="00E50735">
        <w:rPr>
          <w:b/>
          <w:sz w:val="24"/>
          <w:szCs w:val="24"/>
        </w:rPr>
        <w:t>-202</w:t>
      </w:r>
      <w:r w:rsidR="008A74B2">
        <w:rPr>
          <w:b/>
          <w:sz w:val="24"/>
          <w:szCs w:val="24"/>
        </w:rPr>
        <w:t>1</w:t>
      </w:r>
      <w:r w:rsidR="00E50735">
        <w:rPr>
          <w:b/>
          <w:sz w:val="24"/>
          <w:szCs w:val="24"/>
        </w:rPr>
        <w:t>.</w:t>
      </w:r>
    </w:p>
    <w:p w:rsidR="00D07D21" w:rsidRPr="00F96F21" w:rsidRDefault="00D07D21" w:rsidP="008A74B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pPr>
      <w:r w:rsidRPr="00F96F21">
        <w:rPr>
          <w:b/>
          <w:sz w:val="24"/>
          <w:szCs w:val="24"/>
        </w:rPr>
        <w:lastRenderedPageBreak/>
        <w:t xml:space="preserve">Relativa a la Obra: </w:t>
      </w:r>
      <w:r w:rsidR="008A74B2" w:rsidRPr="008A74B2">
        <w:rPr>
          <w:b/>
          <w:noProof/>
          <w:sz w:val="24"/>
          <w:szCs w:val="24"/>
        </w:rPr>
        <w:t>CONSTRUCCION DE 20(VEINTE) RECAMARAS ADICIONALES  DE 16.65 M2 EN AREA URBANA  A BASE DE LOSA DE CIMENTACIÓN, MUROS DE BLOCK, TECHO DE VIGUETA E INSTALACIONES ELÉCTRICAS, EN  VARIAS LOCALIDADES DEL MUNICIPIO DE SAN IGNACIO RIO MUERTO,SONORA.</w:t>
      </w: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8A74B2"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8A74B2" w:rsidRPr="00F96F21"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12073C" w:rsidP="008A7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22</w:t>
            </w:r>
            <w:r w:rsidR="008A74B2">
              <w:rPr>
                <w:b/>
                <w:noProof/>
                <w:sz w:val="24"/>
                <w:szCs w:val="24"/>
              </w:rPr>
              <w:t xml:space="preserve"> de Marzo</w:t>
            </w:r>
            <w:r w:rsidR="00D07D21" w:rsidRPr="00E90FE3">
              <w:rPr>
                <w:b/>
                <w:noProof/>
                <w:sz w:val="24"/>
                <w:szCs w:val="24"/>
              </w:rPr>
              <w:t xml:space="preserve"> de </w:t>
            </w:r>
            <w:r w:rsidR="00FC4670">
              <w:rPr>
                <w:b/>
                <w:noProof/>
                <w:sz w:val="24"/>
                <w:szCs w:val="24"/>
              </w:rPr>
              <w:t>202</w:t>
            </w:r>
            <w:r w:rsidR="008A74B2">
              <w:rPr>
                <w:b/>
                <w:noProof/>
                <w:sz w:val="24"/>
                <w:szCs w:val="24"/>
              </w:rPr>
              <w:t>1</w:t>
            </w:r>
          </w:p>
        </w:tc>
        <w:tc>
          <w:tcPr>
            <w:tcW w:w="1417" w:type="dxa"/>
            <w:shd w:val="clear" w:color="auto" w:fill="auto"/>
          </w:tcPr>
          <w:p w:rsidR="00D07D21" w:rsidRPr="00F96F21" w:rsidRDefault="0012073C"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10</w:t>
            </w:r>
            <w:r w:rsidR="00D07D21" w:rsidRPr="00E90FE3">
              <w:rPr>
                <w:b/>
                <w:noProof/>
                <w:sz w:val="24"/>
                <w:szCs w:val="24"/>
              </w:rPr>
              <w:t>:00 AM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Default="00D07D21" w:rsidP="0083084C">
      <w:pPr>
        <w:rPr>
          <w:sz w:val="24"/>
          <w:szCs w:val="24"/>
          <w:lang w:val="es-ES_tradnl"/>
        </w:rPr>
      </w:pPr>
    </w:p>
    <w:p w:rsidR="008A74B2" w:rsidRPr="00F96F21" w:rsidRDefault="008A74B2"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lastRenderedPageBreak/>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 xml:space="preserve">Una vez recibidas las propuestas se procederá en primer término, a dar apertura a las proposiciones, recibidas, por los medios de comunicación electrónica, seguido las que se hayan presentado en el propio acto y posteriormente la de los que la enviaron por servicio postal o </w:t>
      </w:r>
      <w:r w:rsidRPr="00F96F21">
        <w:rPr>
          <w:sz w:val="24"/>
          <w:szCs w:val="24"/>
        </w:rPr>
        <w:lastRenderedPageBreak/>
        <w:t>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8A74B2" w:rsidP="0083084C">
      <w:pPr>
        <w:ind w:left="567"/>
        <w:jc w:val="both"/>
        <w:rPr>
          <w:sz w:val="24"/>
          <w:szCs w:val="24"/>
        </w:rPr>
      </w:pPr>
      <w:r>
        <w:rPr>
          <w:b/>
          <w:sz w:val="24"/>
          <w:szCs w:val="24"/>
        </w:rPr>
        <w:t>“LA</w:t>
      </w:r>
      <w:r w:rsidR="00D07D21" w:rsidRPr="00F96F21">
        <w:rPr>
          <w:b/>
          <w:sz w:val="24"/>
          <w:szCs w:val="24"/>
        </w:rPr>
        <w:t xml:space="preserve"> COVES”,</w:t>
      </w:r>
      <w:r w:rsidR="00D07D21" w:rsidRPr="00F96F21">
        <w:rPr>
          <w:sz w:val="24"/>
          <w:szCs w:val="24"/>
        </w:rPr>
        <w:t xml:space="preserve"> </w:t>
      </w:r>
      <w:r w:rsidR="00D07D21" w:rsidRPr="00F96F21">
        <w:rPr>
          <w:b/>
          <w:sz w:val="24"/>
          <w:szCs w:val="24"/>
        </w:rPr>
        <w:t>procederá a declarar desierta la licitación</w:t>
      </w:r>
      <w:r w:rsidR="00D07D21" w:rsidRPr="00F96F21">
        <w:rPr>
          <w:sz w:val="24"/>
          <w:szCs w:val="24"/>
        </w:rPr>
        <w:t xml:space="preserve"> y por lo tanto, no adjudicara el contrato, en caso de que habiéndose hecho la invitación no se hubiese presentado proposición alguna o </w:t>
      </w:r>
      <w:r w:rsidR="00D07D21" w:rsidRPr="00F96F21">
        <w:rPr>
          <w:sz w:val="24"/>
          <w:szCs w:val="24"/>
        </w:rPr>
        <w:lastRenderedPageBreak/>
        <w:t xml:space="preserve">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lastRenderedPageBreak/>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lastRenderedPageBreak/>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lastRenderedPageBreak/>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lastRenderedPageBreak/>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lastRenderedPageBreak/>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lastRenderedPageBreak/>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programas de suministro y utilización de materiales, mano de obra y maquinaria y equipo de construcción, sean congruentes con los consumos y 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 xml:space="preserve">Que los costos horarios por la utilización de la maquinaria y equipo de construcción se hayan determinado por hora efectiva de trabajo, debiendo analizarse </w:t>
      </w:r>
      <w:r w:rsidRPr="00F96F21">
        <w:rPr>
          <w:sz w:val="24"/>
          <w:szCs w:val="24"/>
        </w:rPr>
        <w:lastRenderedPageBreak/>
        <w:t>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xml:space="preserve">, previa evaluación de las propuestas presentadas, adjudicará el contrato al licitante que presente una </w:t>
      </w:r>
      <w:r w:rsidRPr="00F96F21">
        <w:rPr>
          <w:sz w:val="24"/>
          <w:szCs w:val="24"/>
        </w:rPr>
        <w:lastRenderedPageBreak/>
        <w:t>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lastRenderedPageBreak/>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w:t>
      </w:r>
      <w:r w:rsidRPr="00F96F21">
        <w:rPr>
          <w:sz w:val="24"/>
          <w:szCs w:val="24"/>
        </w:rPr>
        <w:lastRenderedPageBreak/>
        <w:t xml:space="preserve">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 xml:space="preserve">Si ocurriesen circunstancias imprevisibles o de fuerza mayor que imposibiliten a “LA CONVOCANTE” para dar a conocer el fallo en la fecha originalmente señalada, podrá diferir el fallo previa comunicación que hará a los participantes e invitados, la nueva fecha quedará </w:t>
      </w:r>
      <w:r w:rsidRPr="00F96F21">
        <w:rPr>
          <w:sz w:val="24"/>
          <w:szCs w:val="24"/>
        </w:rPr>
        <w:lastRenderedPageBreak/>
        <w:t>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En este supuesto, cuando no exista causa imputable al licitante, éste tendrá derecho a que “LA COVE” le cubra los gastos que, habiéndose comprobado, hubiere erogado para preparar y 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lastRenderedPageBreak/>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lastRenderedPageBreak/>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lastRenderedPageBreak/>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2D6074" w:rsidRDefault="0012073C" w:rsidP="002D6074">
      <w:pPr>
        <w:spacing w:line="240" w:lineRule="auto"/>
        <w:contextualSpacing/>
        <w:jc w:val="center"/>
        <w:rPr>
          <w:rStyle w:val="nfasis"/>
          <w:b/>
          <w:sz w:val="24"/>
          <w:szCs w:val="24"/>
        </w:rPr>
      </w:pPr>
      <w:r>
        <w:rPr>
          <w:rStyle w:val="nfasis"/>
          <w:b/>
          <w:sz w:val="24"/>
          <w:szCs w:val="24"/>
        </w:rPr>
        <w:t>ING. JOSE MARIA TAPIA MONTIEL ENCARGADO DE DESPACHO</w:t>
      </w:r>
      <w:r w:rsidR="00D07D21" w:rsidRPr="00F96F21">
        <w:rPr>
          <w:rStyle w:val="nfasis"/>
          <w:b/>
          <w:sz w:val="24"/>
          <w:szCs w:val="24"/>
        </w:rPr>
        <w:t xml:space="preserve">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0"/>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 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w:t>
      </w:r>
      <w:r w:rsidR="008A74B2">
        <w:rPr>
          <w:sz w:val="24"/>
          <w:szCs w:val="24"/>
        </w:rPr>
        <w:t>1</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12073C">
            <w:pPr>
              <w:rPr>
                <w:sz w:val="24"/>
                <w:szCs w:val="24"/>
              </w:rPr>
            </w:pPr>
            <w:r>
              <w:rPr>
                <w:sz w:val="24"/>
                <w:szCs w:val="24"/>
              </w:rPr>
              <w:t xml:space="preserve">ENCARGADO DE DESPACHO </w:t>
            </w:r>
            <w:r w:rsidR="00D07D21">
              <w:rPr>
                <w:sz w:val="24"/>
                <w:szCs w:val="24"/>
              </w:rPr>
              <w:t xml:space="preserve">DE LA COMISIÓN DE VIVIENDA DEL ESTADO DE SONORA </w:t>
            </w:r>
          </w:p>
          <w:p w:rsidR="00D07D21" w:rsidRPr="00F96F21" w:rsidRDefault="00D07D21" w:rsidP="0012073C">
            <w:pPr>
              <w:rPr>
                <w:sz w:val="24"/>
                <w:szCs w:val="24"/>
              </w:rPr>
            </w:pPr>
          </w:p>
          <w:p w:rsidR="00D07D21" w:rsidRPr="00F96F21" w:rsidRDefault="00D07D21" w:rsidP="0012073C">
            <w:pPr>
              <w:rPr>
                <w:sz w:val="24"/>
                <w:szCs w:val="24"/>
              </w:rPr>
            </w:pPr>
          </w:p>
          <w:p w:rsidR="00D07D21" w:rsidRPr="00F96F21" w:rsidRDefault="0012073C" w:rsidP="0012073C">
            <w:pPr>
              <w:rPr>
                <w:sz w:val="24"/>
                <w:szCs w:val="24"/>
              </w:rPr>
            </w:pPr>
            <w:r>
              <w:rPr>
                <w:sz w:val="24"/>
                <w:szCs w:val="24"/>
              </w:rPr>
              <w:t>ING. JOSE MARIA TAPIA MONTIEL</w:t>
            </w:r>
            <w:r w:rsidR="00D07D21">
              <w:rPr>
                <w:sz w:val="24"/>
                <w:szCs w:val="24"/>
              </w:rPr>
              <w:t xml:space="preserve">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jc w:val="center"/>
        <w:rPr>
          <w:b/>
          <w:sz w:val="24"/>
          <w:szCs w:val="24"/>
        </w:rPr>
      </w:pPr>
      <w:r w:rsidRPr="00F96F21">
        <w:rPr>
          <w:b/>
          <w:noProof/>
          <w:sz w:val="24"/>
          <w:szCs w:val="24"/>
        </w:rPr>
        <w:lastRenderedPageBreak/>
        <w:t>LICITACION SIMPLIFICADA</w:t>
      </w:r>
      <w:r w:rsidRPr="00F96F21">
        <w:rPr>
          <w:b/>
          <w:sz w:val="24"/>
          <w:szCs w:val="24"/>
        </w:rPr>
        <w:t xml:space="preserve"> No. XXXXXXXXXXXXX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w:t>
      </w:r>
      <w:r w:rsidR="008A74B2">
        <w:rPr>
          <w:sz w:val="24"/>
          <w:szCs w:val="24"/>
        </w:rPr>
        <w:t>1</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83084C">
            <w:pPr>
              <w:jc w:val="center"/>
              <w:rPr>
                <w:sz w:val="24"/>
                <w:szCs w:val="24"/>
              </w:rPr>
            </w:pPr>
            <w:r>
              <w:rPr>
                <w:sz w:val="24"/>
                <w:szCs w:val="24"/>
              </w:rPr>
              <w:t>ENCARGADO DE DESPACHO</w:t>
            </w:r>
            <w:r w:rsidR="00D07D21">
              <w:rPr>
                <w:sz w:val="24"/>
                <w:szCs w:val="24"/>
              </w:rPr>
              <w:t xml:space="preserve">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12073C" w:rsidP="0083084C">
            <w:pPr>
              <w:jc w:val="center"/>
              <w:rPr>
                <w:sz w:val="24"/>
                <w:szCs w:val="24"/>
              </w:rPr>
            </w:pPr>
            <w:r>
              <w:rPr>
                <w:sz w:val="24"/>
                <w:szCs w:val="24"/>
              </w:rPr>
              <w:t xml:space="preserve">ING. JOSE MARIA TAPIA MONTIEL </w:t>
            </w:r>
            <w:bookmarkStart w:id="0" w:name="_GoBack"/>
            <w:bookmarkEnd w:id="0"/>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A74B2">
      <w:pPr>
        <w:jc w:val="both"/>
        <w:rPr>
          <w:sz w:val="24"/>
          <w:szCs w:val="24"/>
        </w:rPr>
      </w:pPr>
    </w:p>
    <w:sectPr w:rsidR="00D07D21" w:rsidRPr="00F96F21" w:rsidSect="00D07D21">
      <w:headerReference w:type="default" r:id="rId11"/>
      <w:footerReference w:type="even" r:id="rId12"/>
      <w:footerReference w:type="default" r:id="rId13"/>
      <w:headerReference w:type="first" r:id="rId14"/>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0A" w:rsidRDefault="00A1350A" w:rsidP="00AB77D5">
      <w:pPr>
        <w:spacing w:after="0" w:line="240" w:lineRule="auto"/>
      </w:pPr>
      <w:r>
        <w:separator/>
      </w:r>
    </w:p>
  </w:endnote>
  <w:endnote w:type="continuationSeparator" w:id="0">
    <w:p w:rsidR="00A1350A" w:rsidRDefault="00A1350A"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Default="00776088"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76088" w:rsidRDefault="00776088" w:rsidP="00DC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AB28C8" w:rsidRDefault="00776088"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0A" w:rsidRDefault="00A1350A" w:rsidP="00AB77D5">
      <w:pPr>
        <w:spacing w:after="0" w:line="240" w:lineRule="auto"/>
      </w:pPr>
      <w:r>
        <w:separator/>
      </w:r>
    </w:p>
  </w:footnote>
  <w:footnote w:type="continuationSeparator" w:id="0">
    <w:p w:rsidR="00A1350A" w:rsidRDefault="00A1350A"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Default="00A1350A"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2;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1;visibility:visible;mso-width-relative:margin;mso-height-relative:margin">
          <v:imagedata r:id="rId2" o:title="Sonora"/>
          <w10:wrap type="square"/>
        </v:shape>
      </w:pict>
    </w:r>
  </w:p>
  <w:p w:rsidR="00776088" w:rsidRDefault="00776088" w:rsidP="0083084C">
    <w:pPr>
      <w:pStyle w:val="Encabezado"/>
      <w:jc w:val="center"/>
      <w:rPr>
        <w:noProof/>
        <w:lang w:eastAsia="es-MX"/>
      </w:rPr>
    </w:pPr>
  </w:p>
  <w:p w:rsidR="00776088" w:rsidRDefault="00776088" w:rsidP="0083084C">
    <w:pPr>
      <w:pStyle w:val="Encabezado"/>
      <w:jc w:val="center"/>
      <w:rPr>
        <w:noProof/>
        <w:lang w:eastAsia="es-MX"/>
      </w:rPr>
    </w:pPr>
  </w:p>
  <w:p w:rsidR="00776088" w:rsidRPr="00E515BF" w:rsidRDefault="00776088"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AB28C8" w:rsidRDefault="00776088" w:rsidP="00AB28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E71AB0" w:rsidRDefault="00776088"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776088" w:rsidRPr="00C46E75" w:rsidRDefault="00776088"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073C"/>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974"/>
    <w:rsid w:val="00331C0E"/>
    <w:rsid w:val="00331DE4"/>
    <w:rsid w:val="003322EC"/>
    <w:rsid w:val="00332CE3"/>
    <w:rsid w:val="0033358B"/>
    <w:rsid w:val="00333E65"/>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95E"/>
    <w:rsid w:val="00542A29"/>
    <w:rsid w:val="005432DC"/>
    <w:rsid w:val="00543966"/>
    <w:rsid w:val="00544552"/>
    <w:rsid w:val="00545541"/>
    <w:rsid w:val="0054655B"/>
    <w:rsid w:val="00546AE8"/>
    <w:rsid w:val="005470D0"/>
    <w:rsid w:val="0055077E"/>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088"/>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1C26"/>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A74B2"/>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50A"/>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635A"/>
    <w:rsid w:val="00B76923"/>
    <w:rsid w:val="00B76A7F"/>
    <w:rsid w:val="00B7733A"/>
    <w:rsid w:val="00B829BD"/>
    <w:rsid w:val="00B834B2"/>
    <w:rsid w:val="00B83BCD"/>
    <w:rsid w:val="00B86D59"/>
    <w:rsid w:val="00B86E2F"/>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41D"/>
    <w:rsid w:val="00DC3A60"/>
    <w:rsid w:val="00DC5051"/>
    <w:rsid w:val="00DC7018"/>
    <w:rsid w:val="00DD010F"/>
    <w:rsid w:val="00DD09E4"/>
    <w:rsid w:val="00DD16DC"/>
    <w:rsid w:val="00DD1DA8"/>
    <w:rsid w:val="00DD28F3"/>
    <w:rsid w:val="00DD3E24"/>
    <w:rsid w:val="00DD50BA"/>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457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238"/>
    <w:rsid w:val="00FF2E6C"/>
    <w:rsid w:val="00FF3251"/>
    <w:rsid w:val="00FF3891"/>
    <w:rsid w:val="00FF397F"/>
    <w:rsid w:val="00FF5578"/>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95BAA54"/>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793598164">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penunuri@sono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F0AE-E181-4C2B-8060-65C5A75B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14583</Words>
  <Characters>80211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94605</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omar rivera</cp:lastModifiedBy>
  <cp:revision>3</cp:revision>
  <cp:lastPrinted>2020-03-18T20:06:00Z</cp:lastPrinted>
  <dcterms:created xsi:type="dcterms:W3CDTF">2021-02-26T20:30:00Z</dcterms:created>
  <dcterms:modified xsi:type="dcterms:W3CDTF">2021-03-09T05:05:00Z</dcterms:modified>
</cp:coreProperties>
</file>